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sz w:val="32"/>
          <w:szCs w:val="32"/>
        </w:rPr>
      </w:pPr>
      <w:r>
        <w:rPr>
          <w:rFonts w:hint="eastAsia" w:ascii="黑体" w:hAnsi="黑体" w:eastAsia="黑体"/>
          <w:sz w:val="32"/>
          <w:szCs w:val="32"/>
        </w:rPr>
        <w:t>附件一</w:t>
      </w:r>
    </w:p>
    <w:p>
      <w:pPr>
        <w:spacing w:line="560" w:lineRule="exact"/>
        <w:rPr>
          <w:rFonts w:ascii="黑体" w:hAnsi="黑体" w:eastAsia="黑体"/>
          <w:sz w:val="32"/>
          <w:szCs w:val="32"/>
        </w:rPr>
      </w:pPr>
    </w:p>
    <w:p>
      <w:pPr>
        <w:spacing w:line="7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全省政协履职工作亮点品牌案例征集活动方案</w:t>
      </w:r>
    </w:p>
    <w:p>
      <w:pPr>
        <w:spacing w:line="700" w:lineRule="exact"/>
        <w:jc w:val="center"/>
        <w:rPr>
          <w:rFonts w:ascii="仿宋_GB2312" w:eastAsia="仿宋_GB2312"/>
          <w:sz w:val="32"/>
          <w:szCs w:val="32"/>
        </w:rPr>
      </w:pPr>
    </w:p>
    <w:bookmarkEnd w:id="0"/>
    <w:p>
      <w:pPr>
        <w:spacing w:line="580" w:lineRule="exact"/>
        <w:ind w:firstLine="640" w:firstLineChars="200"/>
        <w:rPr>
          <w:rFonts w:ascii="仿宋_GB2312" w:eastAsia="仿宋_GB2312"/>
          <w:sz w:val="32"/>
          <w:szCs w:val="32"/>
        </w:rPr>
      </w:pPr>
      <w:r>
        <w:rPr>
          <w:rFonts w:hint="eastAsia" w:ascii="仿宋_GB2312" w:eastAsia="仿宋_GB2312"/>
          <w:sz w:val="32"/>
          <w:szCs w:val="32"/>
        </w:rPr>
        <w:t>为认真总结近年来全省各级政协在习近平新时代中国特色社会主义思想指导下，深入学习实践习近平总书记关于加强和改进人民政协工作的重要思想，强化专门协商机构建设，围绕中心服务大局所取得的履职成效，经省政协主席会议研究决定，在全省政协开展履职工作亮点品牌案例征集活动，现制定活动方案如下。</w:t>
      </w:r>
    </w:p>
    <w:p>
      <w:pPr>
        <w:spacing w:line="580" w:lineRule="exact"/>
        <w:ind w:left="640"/>
        <w:rPr>
          <w:rFonts w:ascii="黑体" w:eastAsia="黑体"/>
          <w:sz w:val="32"/>
          <w:szCs w:val="32"/>
        </w:rPr>
      </w:pPr>
      <w:r>
        <w:rPr>
          <w:rFonts w:hint="eastAsia" w:ascii="黑体" w:eastAsia="黑体"/>
          <w:sz w:val="32"/>
          <w:szCs w:val="32"/>
        </w:rPr>
        <w:t>一、活动主题</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征集活动以“加强专门协商机构建设，以高质量履职服务高质量发展”为主题，向全省各级政协组织征集2018年以来的履职工作亮点品牌案例，并集中发布。通过对全省各级政协履职工作亮点品牌案例的征集展示，生动记录全省各级政协组织认真贯彻落实习近平总书记关于加强和改进人民政协工作的重要思想和中央政协工作会议精神，围绕中心服务大局的履职实践，集中展示全省各级政协实践创新、理论创新、制度创新取得的成效成果，促进全省各级政协互学互鉴、不断提升履职效能，为谱写多彩贵州现代化建设新篇章贡献更大力量。</w:t>
      </w:r>
    </w:p>
    <w:p>
      <w:pPr>
        <w:spacing w:line="580" w:lineRule="exact"/>
        <w:ind w:left="640"/>
        <w:rPr>
          <w:rFonts w:ascii="黑体" w:eastAsia="黑体"/>
          <w:sz w:val="32"/>
          <w:szCs w:val="32"/>
        </w:rPr>
      </w:pPr>
      <w:r>
        <w:rPr>
          <w:rFonts w:hint="eastAsia" w:ascii="黑体" w:eastAsia="黑体"/>
          <w:sz w:val="32"/>
          <w:szCs w:val="32"/>
        </w:rPr>
        <w:t>二、组织领导</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在省政协主席会议领导下，省政协办公厅成立全省政协履职工作亮点品牌案例征集活动办公室，由省政协秘书长担任办公室主任，省政协副秘书长担任办公室副主任，省政协办公厅相关处室（单位）加强协作配合，务实高效开展相关工作。</w:t>
      </w:r>
    </w:p>
    <w:p>
      <w:pPr>
        <w:spacing w:line="580" w:lineRule="exact"/>
        <w:ind w:left="640"/>
        <w:rPr>
          <w:rFonts w:ascii="黑体" w:eastAsia="黑体"/>
          <w:sz w:val="32"/>
          <w:szCs w:val="32"/>
        </w:rPr>
      </w:pPr>
      <w:r>
        <w:rPr>
          <w:rFonts w:hint="eastAsia" w:ascii="黑体" w:eastAsia="黑体"/>
          <w:sz w:val="32"/>
          <w:szCs w:val="32"/>
        </w:rPr>
        <w:t>三、活动安排</w:t>
      </w:r>
    </w:p>
    <w:p>
      <w:pPr>
        <w:spacing w:line="580" w:lineRule="exact"/>
        <w:ind w:left="640"/>
        <w:rPr>
          <w:rFonts w:ascii="楷体_GB2312" w:eastAsia="楷体_GB2312"/>
          <w:sz w:val="32"/>
          <w:szCs w:val="32"/>
        </w:rPr>
      </w:pPr>
      <w:r>
        <w:rPr>
          <w:rFonts w:hint="eastAsia" w:ascii="楷体_GB2312" w:eastAsia="楷体_GB2312"/>
          <w:sz w:val="32"/>
          <w:szCs w:val="32"/>
        </w:rPr>
        <w:t>（一）报送单位和数量安排</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1.省政协履职工作亮点品牌案例由省政协办公厅、省政协各专委会报送。省政协办公厅负责报送案例5个左右，省政协各专委会负责报送案例1-2个。</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 市（州）政协履职工作亮点品牌案例由各市（州）政协组织报送，每个市（州）政协报送案例不超过5个；各市（州）政协统筹组织报送所辖县级政协履职工作亮点品牌案例不超过10个。</w:t>
      </w:r>
    </w:p>
    <w:p>
      <w:pPr>
        <w:spacing w:line="580" w:lineRule="exact"/>
        <w:ind w:left="640"/>
        <w:rPr>
          <w:rFonts w:ascii="楷体_GB2312" w:eastAsia="楷体_GB2312"/>
          <w:sz w:val="32"/>
          <w:szCs w:val="32"/>
        </w:rPr>
      </w:pPr>
      <w:r>
        <w:rPr>
          <w:rFonts w:hint="eastAsia" w:ascii="楷体_GB2312" w:eastAsia="楷体_GB2312"/>
          <w:sz w:val="32"/>
          <w:szCs w:val="32"/>
        </w:rPr>
        <w:t>（二）时间安排</w:t>
      </w:r>
    </w:p>
    <w:p>
      <w:pPr>
        <w:spacing w:line="580" w:lineRule="exact"/>
        <w:ind w:firstLine="720" w:firstLineChars="225"/>
        <w:rPr>
          <w:rFonts w:ascii="仿宋_GB2312" w:eastAsia="仿宋_GB2312"/>
          <w:sz w:val="32"/>
          <w:szCs w:val="32"/>
        </w:rPr>
      </w:pPr>
      <w:r>
        <w:rPr>
          <w:rFonts w:hint="eastAsia" w:ascii="仿宋_GB2312" w:eastAsia="仿宋_GB2312"/>
          <w:sz w:val="32"/>
          <w:szCs w:val="32"/>
        </w:rPr>
        <w:t>1.征集时间：自本通知发出之日起至2022年8月31日。</w:t>
      </w:r>
    </w:p>
    <w:p>
      <w:pPr>
        <w:spacing w:line="580" w:lineRule="exact"/>
        <w:ind w:firstLine="720" w:firstLineChars="225"/>
        <w:rPr>
          <w:rFonts w:ascii="仿宋_GB2312" w:eastAsia="仿宋_GB2312"/>
          <w:sz w:val="32"/>
          <w:szCs w:val="32"/>
        </w:rPr>
      </w:pPr>
      <w:r>
        <w:rPr>
          <w:rFonts w:hint="eastAsia" w:ascii="仿宋_GB2312" w:eastAsia="仿宋_GB2312"/>
          <w:sz w:val="32"/>
          <w:szCs w:val="32"/>
        </w:rPr>
        <w:t>2.审核时间：2022年10月底前</w:t>
      </w:r>
    </w:p>
    <w:p>
      <w:pPr>
        <w:spacing w:line="580" w:lineRule="exact"/>
        <w:ind w:firstLine="720" w:firstLineChars="225"/>
        <w:rPr>
          <w:rFonts w:ascii="仿宋_GB2312" w:eastAsia="仿宋_GB2312"/>
          <w:sz w:val="32"/>
          <w:szCs w:val="32"/>
        </w:rPr>
      </w:pPr>
      <w:r>
        <w:rPr>
          <w:rFonts w:hint="eastAsia" w:ascii="仿宋_GB2312" w:eastAsia="仿宋_GB2312"/>
          <w:sz w:val="32"/>
          <w:szCs w:val="32"/>
        </w:rPr>
        <w:t>3.发布时间：2022年11月</w:t>
      </w:r>
    </w:p>
    <w:p>
      <w:pPr>
        <w:spacing w:line="580" w:lineRule="exact"/>
        <w:ind w:left="640"/>
        <w:rPr>
          <w:rFonts w:ascii="楷体_GB2312" w:eastAsia="楷体_GB2312"/>
          <w:sz w:val="32"/>
          <w:szCs w:val="32"/>
        </w:rPr>
      </w:pPr>
      <w:r>
        <w:rPr>
          <w:rFonts w:hint="eastAsia" w:ascii="楷体_GB2312" w:eastAsia="楷体_GB2312"/>
          <w:sz w:val="32"/>
          <w:szCs w:val="32"/>
        </w:rPr>
        <w:t>（三）案例分类与相关要求</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1.征集案例分为五类。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第一类：加强专门协商机构建设的履职实践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第二类：围绕中心、服务大局有关重大专项工作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第三类：人民政协经常性工作发展创新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第四类：加强人民政协自身建设的有关举措</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第五类：其他取得重大成效的工作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文稿要求：每个案例应报送4000字以内的介绍文稿，包括标题、背景与起因、做法与经过、成效与反响、经验与启示五个部分，表述要规范明晰，总结分析要准确客观，突出案例的典型性、创新性、实践性。严格遵守保密工作要求，文稿内容不得涉及国家秘密和工作秘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3.配图要求：每份案例文稿应附送3-5幅相关图片，力求通过纪实性强的图片直观呈现文稿所述工作的做法成效。图片要求为JPG格式，文件大小在2MB以上，标注文字说明，无版权和肖像权、隐私权争议。</w:t>
      </w:r>
    </w:p>
    <w:p>
      <w:pPr>
        <w:spacing w:line="580" w:lineRule="exact"/>
        <w:ind w:left="640"/>
        <w:rPr>
          <w:rFonts w:ascii="楷体_GB2312" w:eastAsia="楷体_GB2312"/>
          <w:sz w:val="32"/>
          <w:szCs w:val="32"/>
        </w:rPr>
      </w:pPr>
      <w:r>
        <w:rPr>
          <w:rFonts w:hint="eastAsia" w:ascii="楷体_GB2312" w:eastAsia="楷体_GB2312"/>
          <w:sz w:val="32"/>
          <w:szCs w:val="32"/>
        </w:rPr>
        <w:t>（四）征集方式</w:t>
      </w:r>
    </w:p>
    <w:p>
      <w:pPr>
        <w:spacing w:line="580" w:lineRule="exact"/>
        <w:ind w:firstLine="720" w:firstLineChars="225"/>
        <w:rPr>
          <w:rFonts w:ascii="仿宋_GB2312" w:eastAsia="仿宋_GB2312"/>
          <w:sz w:val="32"/>
          <w:szCs w:val="32"/>
        </w:rPr>
      </w:pPr>
      <w:r>
        <w:rPr>
          <w:rFonts w:hint="eastAsia" w:ascii="仿宋_GB2312" w:eastAsia="仿宋_GB2312"/>
          <w:sz w:val="32"/>
          <w:szCs w:val="32"/>
        </w:rPr>
        <w:t>省政协相关机构及各市（州）政协按照活动要求组织案例筛选报送。案例文稿、配图及全省政协履职工作亮点品牌案例推荐表（见附件二）电子版在征集时间截止前通过活动邮箱（gzszxxx@sina.com）报送，邮件标题注明“全省政协履职工作亮点品牌案例征集”字样。同时将签字盖章后的纸质版全省政协履职工作亮点品牌案例推荐表和案例文稿通过机要交通或邮政快递方式寄送至省政协办公厅（贵阳市云岩区北京路141号）征集活动办公室。</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（五）优秀案例的宣传与发布</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 优秀案例集中宣传：经过征集活动办公室初步筛选的优秀案例将在《贵州政协报》（含微信公众号）和“贵州省政协”门户网站开设专栏进行宣传展示。</w:t>
      </w:r>
    </w:p>
    <w:p>
      <w:pPr>
        <w:spacing w:line="580" w:lineRule="exact"/>
        <w:ind w:firstLine="640" w:firstLineChars="200"/>
      </w:pPr>
      <w:r>
        <w:rPr>
          <w:rFonts w:hint="eastAsia" w:ascii="仿宋_GB2312" w:eastAsia="仿宋_GB2312"/>
          <w:sz w:val="32"/>
          <w:szCs w:val="32"/>
        </w:rPr>
        <w:t>2.发布：征集活动办公室根据征集标准对全省各级政协组织报送的履职工作亮点品牌案例进行审核，并提出案例发布建议，报省政协主席会议审定后，发布“十二届贵州省政协履职工作十大亮点品牌案例”“2018 -2022年贵州省市州政协履职工作亮点品牌十佳案例”“2018 -2022年贵州省县级政协履职工作亮点品牌十佳案例”，并将案例集结成书。</w:t>
      </w:r>
    </w:p>
    <w:p>
      <w:pPr>
        <w:spacing w:line="580" w:lineRule="exact"/>
        <w:ind w:left="640"/>
        <w:rPr>
          <w:rFonts w:ascii="黑体" w:eastAsia="黑体"/>
          <w:sz w:val="32"/>
          <w:szCs w:val="32"/>
        </w:rPr>
      </w:pPr>
      <w:r>
        <w:rPr>
          <w:rFonts w:hint="eastAsia" w:ascii="黑体" w:eastAsia="黑体"/>
          <w:sz w:val="32"/>
          <w:szCs w:val="32"/>
        </w:rPr>
        <w:t>四、征集标准</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（一）亮点品牌案例：</w:t>
      </w:r>
      <w:r>
        <w:rPr>
          <w:rFonts w:hint="eastAsia" w:ascii="仿宋_GB2312" w:eastAsia="仿宋_GB2312"/>
          <w:sz w:val="32"/>
          <w:szCs w:val="32"/>
        </w:rPr>
        <w:t>党政高度重视，履职成效突出，工作取得重大创新突破，委员群众满意，媒体关注度高，材料准备充分。</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（二）优秀案例：</w:t>
      </w:r>
      <w:r>
        <w:rPr>
          <w:rFonts w:hint="eastAsia" w:ascii="仿宋_GB2312" w:eastAsia="仿宋_GB2312"/>
          <w:sz w:val="32"/>
          <w:szCs w:val="32"/>
        </w:rPr>
        <w:t>党政重视，履职成效明显，工作有创新突破，委员群众比较满意，媒体关注度较高，材料准备充分。</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rPr>
          <w:rFonts w:ascii="仿宋_GB2312" w:eastAsia="仿宋_GB2312"/>
          <w:sz w:val="30"/>
          <w:szCs w:val="30"/>
        </w:rPr>
      </w:pPr>
    </w:p>
    <w:sectPr>
      <w:footerReference r:id="rId3" w:type="default"/>
      <w:footerReference r:id="rId4" w:type="even"/>
      <w:pgSz w:w="11906" w:h="16838"/>
      <w:pgMar w:top="192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348861"/>
      <w:docPartObj>
        <w:docPartGallery w:val="AutoText"/>
      </w:docPartObj>
    </w:sdtPr>
    <w:sdtEndPr>
      <w:rPr>
        <w:rFonts w:asciiTheme="minorEastAsia" w:hAnsiTheme="minorEastAsia"/>
        <w:sz w:val="28"/>
        <w:szCs w:val="28"/>
      </w:rPr>
    </w:sdtEndPr>
    <w:sdtContent>
      <w:p>
        <w:pPr>
          <w:pStyle w:val="3"/>
          <w:ind w:right="360"/>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560" w:firstLineChars="200"/>
      <w:rPr>
        <w:rFonts w:asciiTheme="minorEastAsia" w:hAnsiTheme="minorEastAsia"/>
        <w:sz w:val="28"/>
        <w:szCs w:val="28"/>
      </w:rPr>
    </w:pPr>
    <w:r>
      <w:rPr>
        <w:rFonts w:hint="eastAsia" w:asciiTheme="minorEastAsia" w:hAnsiTheme="minorEastAsia"/>
        <w:sz w:val="28"/>
        <w:szCs w:val="28"/>
      </w:rPr>
      <w:t xml:space="preserve">— </w:t>
    </w:r>
    <w:sdt>
      <w:sdtPr>
        <w:rPr>
          <w:rFonts w:asciiTheme="minorEastAsia" w:hAnsiTheme="minorEastAsia"/>
          <w:sz w:val="28"/>
          <w:szCs w:val="28"/>
        </w:rPr>
        <w:id w:val="-883950902"/>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3NWNhNDdkNWFkMzEwYzIyYjcyYWM1MmMzNzlkZWYifQ=="/>
  </w:docVars>
  <w:rsids>
    <w:rsidRoot w:val="008B4B6E"/>
    <w:rsid w:val="000142A0"/>
    <w:rsid w:val="00025A3D"/>
    <w:rsid w:val="00032F36"/>
    <w:rsid w:val="0004374E"/>
    <w:rsid w:val="0006351F"/>
    <w:rsid w:val="0008311B"/>
    <w:rsid w:val="000832B7"/>
    <w:rsid w:val="00085C70"/>
    <w:rsid w:val="00095686"/>
    <w:rsid w:val="000A013E"/>
    <w:rsid w:val="000B50CD"/>
    <w:rsid w:val="000C153E"/>
    <w:rsid w:val="000D3003"/>
    <w:rsid w:val="000E6229"/>
    <w:rsid w:val="000F525F"/>
    <w:rsid w:val="000F6F1D"/>
    <w:rsid w:val="000F7212"/>
    <w:rsid w:val="000F7280"/>
    <w:rsid w:val="00104A64"/>
    <w:rsid w:val="00105489"/>
    <w:rsid w:val="001071FC"/>
    <w:rsid w:val="001144EF"/>
    <w:rsid w:val="00126EE5"/>
    <w:rsid w:val="00130EC2"/>
    <w:rsid w:val="00165FDB"/>
    <w:rsid w:val="00171858"/>
    <w:rsid w:val="00180CE1"/>
    <w:rsid w:val="0018512F"/>
    <w:rsid w:val="00192155"/>
    <w:rsid w:val="001968FC"/>
    <w:rsid w:val="001B0BE0"/>
    <w:rsid w:val="001B1EA2"/>
    <w:rsid w:val="001B2F59"/>
    <w:rsid w:val="001C1F73"/>
    <w:rsid w:val="001C732B"/>
    <w:rsid w:val="001E50DC"/>
    <w:rsid w:val="001E5A83"/>
    <w:rsid w:val="001F15D7"/>
    <w:rsid w:val="001F17D0"/>
    <w:rsid w:val="001F2BEA"/>
    <w:rsid w:val="00205FE0"/>
    <w:rsid w:val="002156E2"/>
    <w:rsid w:val="002201AD"/>
    <w:rsid w:val="002218DA"/>
    <w:rsid w:val="00223511"/>
    <w:rsid w:val="0024345F"/>
    <w:rsid w:val="00261204"/>
    <w:rsid w:val="00267C57"/>
    <w:rsid w:val="002A63DD"/>
    <w:rsid w:val="002B566C"/>
    <w:rsid w:val="002B71B3"/>
    <w:rsid w:val="002B780B"/>
    <w:rsid w:val="002C1CE8"/>
    <w:rsid w:val="002C4218"/>
    <w:rsid w:val="002D2101"/>
    <w:rsid w:val="0030125C"/>
    <w:rsid w:val="00333A38"/>
    <w:rsid w:val="00353B2A"/>
    <w:rsid w:val="00353B7E"/>
    <w:rsid w:val="00382138"/>
    <w:rsid w:val="00383C20"/>
    <w:rsid w:val="00392650"/>
    <w:rsid w:val="003A2C74"/>
    <w:rsid w:val="003A3D91"/>
    <w:rsid w:val="003B40DE"/>
    <w:rsid w:val="003D09CA"/>
    <w:rsid w:val="003E43FA"/>
    <w:rsid w:val="003F4097"/>
    <w:rsid w:val="004012F5"/>
    <w:rsid w:val="00442447"/>
    <w:rsid w:val="004567C3"/>
    <w:rsid w:val="00474632"/>
    <w:rsid w:val="004A063C"/>
    <w:rsid w:val="004A63C7"/>
    <w:rsid w:val="004B2551"/>
    <w:rsid w:val="004F24BE"/>
    <w:rsid w:val="004F33DB"/>
    <w:rsid w:val="004F76F3"/>
    <w:rsid w:val="005328DD"/>
    <w:rsid w:val="00540689"/>
    <w:rsid w:val="005641D7"/>
    <w:rsid w:val="0058716D"/>
    <w:rsid w:val="00590C90"/>
    <w:rsid w:val="00597962"/>
    <w:rsid w:val="005A35E2"/>
    <w:rsid w:val="005B1278"/>
    <w:rsid w:val="005B4980"/>
    <w:rsid w:val="005B4DB9"/>
    <w:rsid w:val="005C03F1"/>
    <w:rsid w:val="005E1B25"/>
    <w:rsid w:val="005E4348"/>
    <w:rsid w:val="005E514E"/>
    <w:rsid w:val="005F3D49"/>
    <w:rsid w:val="00600211"/>
    <w:rsid w:val="0060712D"/>
    <w:rsid w:val="0061085A"/>
    <w:rsid w:val="00611FCC"/>
    <w:rsid w:val="00624767"/>
    <w:rsid w:val="00627137"/>
    <w:rsid w:val="00651DD3"/>
    <w:rsid w:val="00657D56"/>
    <w:rsid w:val="006776BD"/>
    <w:rsid w:val="00677A44"/>
    <w:rsid w:val="006845E9"/>
    <w:rsid w:val="0068698E"/>
    <w:rsid w:val="006875C0"/>
    <w:rsid w:val="006A3EAA"/>
    <w:rsid w:val="006A500B"/>
    <w:rsid w:val="006D0DA1"/>
    <w:rsid w:val="006E03FA"/>
    <w:rsid w:val="006E6D78"/>
    <w:rsid w:val="0072416D"/>
    <w:rsid w:val="00726769"/>
    <w:rsid w:val="00752BB2"/>
    <w:rsid w:val="00762834"/>
    <w:rsid w:val="00782F08"/>
    <w:rsid w:val="0079182A"/>
    <w:rsid w:val="007928AE"/>
    <w:rsid w:val="007A115E"/>
    <w:rsid w:val="007B5CA2"/>
    <w:rsid w:val="007F2874"/>
    <w:rsid w:val="00811196"/>
    <w:rsid w:val="00813EE7"/>
    <w:rsid w:val="0082414C"/>
    <w:rsid w:val="008242D7"/>
    <w:rsid w:val="0082607F"/>
    <w:rsid w:val="00832F2C"/>
    <w:rsid w:val="00834CB0"/>
    <w:rsid w:val="00844A59"/>
    <w:rsid w:val="00845E22"/>
    <w:rsid w:val="00857F6C"/>
    <w:rsid w:val="00876547"/>
    <w:rsid w:val="0088184D"/>
    <w:rsid w:val="0088745C"/>
    <w:rsid w:val="00892560"/>
    <w:rsid w:val="008946C1"/>
    <w:rsid w:val="008A6366"/>
    <w:rsid w:val="008B4B6E"/>
    <w:rsid w:val="008D0B6A"/>
    <w:rsid w:val="008D2DAB"/>
    <w:rsid w:val="008F0333"/>
    <w:rsid w:val="00921FD9"/>
    <w:rsid w:val="00936B09"/>
    <w:rsid w:val="009375A4"/>
    <w:rsid w:val="00941238"/>
    <w:rsid w:val="00943370"/>
    <w:rsid w:val="00961103"/>
    <w:rsid w:val="00970710"/>
    <w:rsid w:val="0097127B"/>
    <w:rsid w:val="00975DE3"/>
    <w:rsid w:val="009838F5"/>
    <w:rsid w:val="009C2173"/>
    <w:rsid w:val="009D7358"/>
    <w:rsid w:val="009E3350"/>
    <w:rsid w:val="009E7299"/>
    <w:rsid w:val="009E7978"/>
    <w:rsid w:val="009F2B66"/>
    <w:rsid w:val="009F52EB"/>
    <w:rsid w:val="00A241B7"/>
    <w:rsid w:val="00A30ED8"/>
    <w:rsid w:val="00A512CD"/>
    <w:rsid w:val="00A63C72"/>
    <w:rsid w:val="00A72EDF"/>
    <w:rsid w:val="00A82D33"/>
    <w:rsid w:val="00AC6994"/>
    <w:rsid w:val="00AE65F3"/>
    <w:rsid w:val="00AF0399"/>
    <w:rsid w:val="00B11BD5"/>
    <w:rsid w:val="00B211B2"/>
    <w:rsid w:val="00B262C5"/>
    <w:rsid w:val="00B34A66"/>
    <w:rsid w:val="00B45C0C"/>
    <w:rsid w:val="00B6115D"/>
    <w:rsid w:val="00B7746A"/>
    <w:rsid w:val="00B801B3"/>
    <w:rsid w:val="00B82CBF"/>
    <w:rsid w:val="00B9197A"/>
    <w:rsid w:val="00B928D8"/>
    <w:rsid w:val="00B95721"/>
    <w:rsid w:val="00B97A92"/>
    <w:rsid w:val="00BA4AAE"/>
    <w:rsid w:val="00BB4A13"/>
    <w:rsid w:val="00BE3B1C"/>
    <w:rsid w:val="00C077AB"/>
    <w:rsid w:val="00C140B7"/>
    <w:rsid w:val="00C1478E"/>
    <w:rsid w:val="00C401CE"/>
    <w:rsid w:val="00C50074"/>
    <w:rsid w:val="00C55829"/>
    <w:rsid w:val="00C55C48"/>
    <w:rsid w:val="00C61604"/>
    <w:rsid w:val="00C82B8A"/>
    <w:rsid w:val="00C8563F"/>
    <w:rsid w:val="00C970E9"/>
    <w:rsid w:val="00CA6C99"/>
    <w:rsid w:val="00CB584C"/>
    <w:rsid w:val="00CC5B8F"/>
    <w:rsid w:val="00CC5FE3"/>
    <w:rsid w:val="00CE0A13"/>
    <w:rsid w:val="00D1231A"/>
    <w:rsid w:val="00D24760"/>
    <w:rsid w:val="00D46C61"/>
    <w:rsid w:val="00D6390B"/>
    <w:rsid w:val="00D659E7"/>
    <w:rsid w:val="00D6614D"/>
    <w:rsid w:val="00D737DF"/>
    <w:rsid w:val="00D7791E"/>
    <w:rsid w:val="00D83E3D"/>
    <w:rsid w:val="00DA3BD4"/>
    <w:rsid w:val="00DA72C5"/>
    <w:rsid w:val="00DC1706"/>
    <w:rsid w:val="00DF0DEE"/>
    <w:rsid w:val="00DF451C"/>
    <w:rsid w:val="00E137F6"/>
    <w:rsid w:val="00E21BF4"/>
    <w:rsid w:val="00E26D9D"/>
    <w:rsid w:val="00E3447B"/>
    <w:rsid w:val="00E523F1"/>
    <w:rsid w:val="00E632D2"/>
    <w:rsid w:val="00E66304"/>
    <w:rsid w:val="00E7454E"/>
    <w:rsid w:val="00EA1CCA"/>
    <w:rsid w:val="00EA2237"/>
    <w:rsid w:val="00EB7C70"/>
    <w:rsid w:val="00ED037E"/>
    <w:rsid w:val="00EF6F18"/>
    <w:rsid w:val="00F373B6"/>
    <w:rsid w:val="00F45B26"/>
    <w:rsid w:val="00F60810"/>
    <w:rsid w:val="00F743AD"/>
    <w:rsid w:val="00F844B6"/>
    <w:rsid w:val="00F90A94"/>
    <w:rsid w:val="00FA6506"/>
    <w:rsid w:val="00FD18EF"/>
    <w:rsid w:val="00FD6528"/>
    <w:rsid w:val="00FF55FF"/>
    <w:rsid w:val="5C2B5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table" w:customStyle="1" w:styleId="10">
    <w:name w:val="网格型1"/>
    <w:basedOn w:val="5"/>
    <w:qFormat/>
    <w:uiPriority w:val="59"/>
    <w:rPr>
      <w:rFonts w:ascii="Calibri" w:hAnsi="Calibri" w:eastAsia="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8</Pages>
  <Words>2190</Words>
  <Characters>2317</Characters>
  <Lines>18</Lines>
  <Paragraphs>5</Paragraphs>
  <TotalTime>2055</TotalTime>
  <ScaleCrop>false</ScaleCrop>
  <LinksUpToDate>false</LinksUpToDate>
  <CharactersWithSpaces>2485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2020-08-14T02:05:00Z</dcterms:created>
  <dc:creator>USER-</dc:creator>
  <cp:lastModifiedBy>晓～</cp:lastModifiedBy>
  <cp:lastPrinted>2022-06-15T02:16:00Z</cp:lastPrinted>
  <dcterms:modified xsi:type="dcterms:W3CDTF">2022-06-21T02:10:14Z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75949C0AAF8E419E969C9F0C031D77B1</vt:lpwstr>
  </property>
</Properties>
</file>